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75" w:rsidRPr="00980D75" w:rsidRDefault="00980D75" w:rsidP="00856E61">
      <w:pPr>
        <w:autoSpaceDE w:val="0"/>
        <w:autoSpaceDN w:val="0"/>
        <w:adjustRightInd w:val="0"/>
        <w:spacing w:after="0" w:line="240" w:lineRule="auto"/>
        <w:jc w:val="center"/>
        <w:rPr>
          <w:rFonts w:ascii="CenturyGothic,Bold" w:hAnsi="CenturyGothic,Bold" w:cs="CenturyGothic,Bold"/>
          <w:b/>
          <w:bCs/>
          <w:color w:val="000000"/>
          <w:sz w:val="28"/>
          <w:szCs w:val="28"/>
          <w:u w:val="single"/>
        </w:rPr>
      </w:pPr>
      <w:r w:rsidRPr="00980D75">
        <w:rPr>
          <w:rFonts w:ascii="CenturyGothic,Bold" w:hAnsi="CenturyGothic,Bold" w:cs="CenturyGothic,Bold"/>
          <w:b/>
          <w:bCs/>
          <w:color w:val="000000"/>
          <w:sz w:val="28"/>
          <w:szCs w:val="28"/>
          <w:u w:val="single"/>
        </w:rPr>
        <w:t>SÉQUENCE « FÉMININ OU MASCULIN ? »</w:t>
      </w:r>
    </w:p>
    <w:p w:rsidR="00980D75" w:rsidRDefault="00980D75" w:rsidP="00856E61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GS</w:t>
      </w:r>
      <w:r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proofErr w:type="spellStart"/>
      <w:r>
        <w:rPr>
          <w:rFonts w:ascii="CenturyGothic" w:hAnsi="CenturyGothic" w:cs="CenturyGothic"/>
          <w:color w:val="000000"/>
          <w:sz w:val="24"/>
          <w:szCs w:val="24"/>
        </w:rPr>
        <w:t>Sallenôves</w:t>
      </w:r>
      <w:proofErr w:type="spellEnd"/>
    </w:p>
    <w:p w:rsidR="00980D75" w:rsidRDefault="00980D75" w:rsidP="00856E61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</w:p>
    <w:p w:rsidR="00980D75" w:rsidRDefault="00980D75" w:rsidP="00856E61">
      <w:pPr>
        <w:autoSpaceDE w:val="0"/>
        <w:autoSpaceDN w:val="0"/>
        <w:adjustRightInd w:val="0"/>
        <w:spacing w:after="0" w:line="240" w:lineRule="auto"/>
        <w:jc w:val="both"/>
        <w:rPr>
          <w:rFonts w:ascii="CenturyGothic,Bold" w:hAnsi="CenturyGothic,Bold" w:cs="CenturyGothic,Bold"/>
          <w:b/>
          <w:bCs/>
          <w:color w:val="000000"/>
          <w:sz w:val="24"/>
          <w:szCs w:val="24"/>
        </w:rPr>
      </w:pPr>
      <w:r w:rsidRPr="00856E61">
        <w:rPr>
          <w:rFonts w:ascii="CenturyGothic,Bold" w:hAnsi="CenturyGothic,Bold" w:cs="CenturyGothic,Bold"/>
          <w:b/>
          <w:bCs/>
          <w:i/>
          <w:color w:val="000000"/>
          <w:sz w:val="24"/>
          <w:szCs w:val="24"/>
          <w:u w:val="single"/>
        </w:rPr>
        <w:t>Objectifs</w:t>
      </w:r>
      <w:r>
        <w:rPr>
          <w:rFonts w:ascii="CenturyGothic,Bold" w:hAnsi="CenturyGothic,Bold" w:cs="CenturyGothic,Bold"/>
          <w:b/>
          <w:bCs/>
          <w:color w:val="000000"/>
          <w:sz w:val="24"/>
          <w:szCs w:val="24"/>
        </w:rPr>
        <w:t xml:space="preserve"> :</w:t>
      </w:r>
    </w:p>
    <w:p w:rsidR="00980D75" w:rsidRDefault="00980D75" w:rsidP="00856E61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- se constituer un capital de mots connus,</w:t>
      </w:r>
    </w:p>
    <w:p w:rsidR="00980D75" w:rsidRDefault="00980D75" w:rsidP="00856E61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- institutionnaliser la notion de genre, que les élèves possèdent intuitivement.</w:t>
      </w:r>
    </w:p>
    <w:p w:rsidR="00980D75" w:rsidRDefault="00980D75" w:rsidP="00856E61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</w:p>
    <w:p w:rsidR="00980D75" w:rsidRDefault="00980D75" w:rsidP="00856E61">
      <w:pPr>
        <w:autoSpaceDE w:val="0"/>
        <w:autoSpaceDN w:val="0"/>
        <w:adjustRightInd w:val="0"/>
        <w:spacing w:after="0" w:line="240" w:lineRule="auto"/>
        <w:jc w:val="both"/>
        <w:rPr>
          <w:rFonts w:ascii="CenturyGothic,Bold" w:hAnsi="CenturyGothic,Bold" w:cs="CenturyGothic,Bold"/>
          <w:b/>
          <w:bCs/>
          <w:color w:val="000000"/>
          <w:sz w:val="24"/>
          <w:szCs w:val="24"/>
        </w:rPr>
      </w:pPr>
      <w:r w:rsidRPr="00856E61">
        <w:rPr>
          <w:rFonts w:ascii="CenturyGothic,Bold" w:hAnsi="CenturyGothic,Bold" w:cs="CenturyGothic,Bold"/>
          <w:b/>
          <w:bCs/>
          <w:i/>
          <w:color w:val="000000"/>
          <w:sz w:val="24"/>
          <w:szCs w:val="24"/>
          <w:u w:val="single"/>
        </w:rPr>
        <w:t>Compétences visées</w:t>
      </w:r>
      <w:r>
        <w:rPr>
          <w:rFonts w:ascii="CenturyGothic,Bold" w:hAnsi="CenturyGothic,Bold" w:cs="CenturyGothic,Bold"/>
          <w:b/>
          <w:bCs/>
          <w:color w:val="000000"/>
          <w:sz w:val="24"/>
          <w:szCs w:val="24"/>
        </w:rPr>
        <w:t xml:space="preserve"> :</w:t>
      </w:r>
    </w:p>
    <w:p w:rsidR="00980D75" w:rsidRDefault="00980D75" w:rsidP="00856E61">
      <w:pPr>
        <w:autoSpaceDE w:val="0"/>
        <w:autoSpaceDN w:val="0"/>
        <w:adjustRightInd w:val="0"/>
        <w:spacing w:after="0" w:line="240" w:lineRule="auto"/>
        <w:jc w:val="both"/>
        <w:rPr>
          <w:rFonts w:ascii="CenturyGothic,Bold" w:hAnsi="CenturyGothic,Bold" w:cs="CenturyGothic,Bold"/>
          <w:b/>
          <w:bCs/>
          <w:color w:val="000000"/>
          <w:sz w:val="24"/>
          <w:szCs w:val="24"/>
        </w:rPr>
      </w:pPr>
    </w:p>
    <w:p w:rsidR="00980D75" w:rsidRDefault="00980D75" w:rsidP="00856E61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- différencier le genre masculin et le genre féminin,</w:t>
      </w:r>
    </w:p>
    <w:p w:rsidR="00980D75" w:rsidRDefault="00980D75" w:rsidP="00856E61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- mettre en relation des sons et des lettres,</w:t>
      </w:r>
    </w:p>
    <w:p w:rsidR="00980D75" w:rsidRDefault="00980D75" w:rsidP="00856E61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- copier en écriture cursive, sous la conduite de l’enseignant, des petits mots</w:t>
      </w:r>
      <w:r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>
        <w:rPr>
          <w:rFonts w:ascii="CenturyGothic" w:hAnsi="CenturyGothic" w:cs="CenturyGothic"/>
          <w:color w:val="000000"/>
          <w:sz w:val="24"/>
          <w:szCs w:val="24"/>
        </w:rPr>
        <w:t>simples dont les correspondances en lettres et sons ont été étudiées,</w:t>
      </w:r>
    </w:p>
    <w:p w:rsidR="00980D75" w:rsidRDefault="00980D75" w:rsidP="00856E61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- mémoriser des petits mots familiers.</w:t>
      </w:r>
    </w:p>
    <w:p w:rsidR="00980D75" w:rsidRDefault="00980D75" w:rsidP="00856E61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</w:p>
    <w:p w:rsidR="00980D75" w:rsidRPr="00856E61" w:rsidRDefault="00980D75" w:rsidP="00856E61">
      <w:pPr>
        <w:autoSpaceDE w:val="0"/>
        <w:autoSpaceDN w:val="0"/>
        <w:adjustRightInd w:val="0"/>
        <w:spacing w:after="0" w:line="240" w:lineRule="auto"/>
        <w:jc w:val="both"/>
        <w:rPr>
          <w:rFonts w:ascii="CenturyGothic,Bold" w:hAnsi="CenturyGothic,Bold" w:cs="CenturyGothic,Bold"/>
          <w:b/>
          <w:bCs/>
          <w:color w:val="000000"/>
          <w:sz w:val="24"/>
          <w:szCs w:val="24"/>
          <w:u w:val="single"/>
        </w:rPr>
      </w:pPr>
      <w:r w:rsidRPr="00856E61">
        <w:rPr>
          <w:rFonts w:ascii="CenturyGothic,Bold" w:hAnsi="CenturyGothic,Bold" w:cs="CenturyGothic,Bold"/>
          <w:b/>
          <w:bCs/>
          <w:color w:val="000000"/>
          <w:sz w:val="24"/>
          <w:szCs w:val="24"/>
          <w:u w:val="single"/>
        </w:rPr>
        <w:t>DÉCOUVERTE</w:t>
      </w:r>
    </w:p>
    <w:p w:rsidR="00980D75" w:rsidRDefault="00980D75" w:rsidP="00856E61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Les enfants sont amenés à découvrir les mots « le » et « la » lors de la première</w:t>
      </w:r>
      <w:r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>
        <w:rPr>
          <w:rFonts w:ascii="CenturyGothic" w:hAnsi="CenturyGothic" w:cs="CenturyGothic"/>
          <w:color w:val="000000"/>
          <w:sz w:val="24"/>
          <w:szCs w:val="24"/>
        </w:rPr>
        <w:t xml:space="preserve">utilisation du dictionnaire individuel pour la participation </w:t>
      </w:r>
      <w:r>
        <w:rPr>
          <w:rFonts w:ascii="CenturyGothic" w:hAnsi="CenturyGothic" w:cs="CenturyGothic"/>
          <w:color w:val="000000"/>
          <w:sz w:val="24"/>
          <w:szCs w:val="24"/>
        </w:rPr>
        <w:t>au jeu des animaux</w:t>
      </w:r>
      <w:r w:rsidR="00856E61">
        <w:rPr>
          <w:rFonts w:ascii="CenturyGothic" w:hAnsi="CenturyGothic" w:cs="CenturyGothic"/>
          <w:color w:val="000000"/>
          <w:sz w:val="24"/>
          <w:szCs w:val="24"/>
        </w:rPr>
        <w:t xml:space="preserve"> (reprise du vocabulaire acquis au cours de l’année suite à un travail avec la maîtresse)</w:t>
      </w:r>
      <w:bookmarkStart w:id="0" w:name="_GoBack"/>
      <w:bookmarkEnd w:id="0"/>
      <w:r>
        <w:rPr>
          <w:rFonts w:ascii="CenturyGothic" w:hAnsi="CenturyGothic" w:cs="CenturyGothic"/>
          <w:color w:val="000000"/>
          <w:sz w:val="24"/>
          <w:szCs w:val="24"/>
        </w:rPr>
        <w:t>.</w:t>
      </w:r>
    </w:p>
    <w:p w:rsidR="00980D75" w:rsidRDefault="00980D75" w:rsidP="00856E61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Après avoir observé les lettres qui composent chacun de ces mots, et les sons</w:t>
      </w:r>
      <w:r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>
        <w:rPr>
          <w:rFonts w:ascii="CenturyGothic" w:hAnsi="CenturyGothic" w:cs="CenturyGothic"/>
          <w:color w:val="000000"/>
          <w:sz w:val="24"/>
          <w:szCs w:val="24"/>
        </w:rPr>
        <w:t xml:space="preserve">qu’elles </w:t>
      </w:r>
      <w:r>
        <w:rPr>
          <w:rFonts w:ascii="CenturyGothic" w:hAnsi="CenturyGothic" w:cs="CenturyGothic"/>
          <w:color w:val="000000"/>
          <w:sz w:val="24"/>
          <w:szCs w:val="24"/>
        </w:rPr>
        <w:t>p</w:t>
      </w:r>
      <w:r>
        <w:rPr>
          <w:rFonts w:ascii="CenturyGothic" w:hAnsi="CenturyGothic" w:cs="CenturyGothic"/>
          <w:color w:val="000000"/>
          <w:sz w:val="24"/>
          <w:szCs w:val="24"/>
        </w:rPr>
        <w:t>roduisent, les enfants doivent reconnaître « le » ou « la » pour obtenir</w:t>
      </w:r>
      <w:r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>
        <w:rPr>
          <w:rFonts w:ascii="CenturyGothic" w:hAnsi="CenturyGothic" w:cs="CenturyGothic"/>
          <w:color w:val="000000"/>
          <w:sz w:val="24"/>
          <w:szCs w:val="24"/>
        </w:rPr>
        <w:t>un premier indice de la partie du corps à retrouver (</w:t>
      </w:r>
      <w:r>
        <w:rPr>
          <w:rFonts w:ascii="CenturyGothic" w:hAnsi="CenturyGothic" w:cs="CenturyGothic"/>
          <w:color w:val="000000"/>
          <w:sz w:val="24"/>
          <w:szCs w:val="24"/>
        </w:rPr>
        <w:t>la vache, le chat…</w:t>
      </w:r>
      <w:r>
        <w:rPr>
          <w:rFonts w:ascii="CenturyGothic" w:hAnsi="CenturyGothic" w:cs="CenturyGothic"/>
          <w:color w:val="000000"/>
          <w:sz w:val="24"/>
          <w:szCs w:val="24"/>
        </w:rPr>
        <w:t>).</w:t>
      </w:r>
    </w:p>
    <w:p w:rsidR="00980D75" w:rsidRDefault="00980D75" w:rsidP="00856E61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</w:p>
    <w:p w:rsidR="00980D75" w:rsidRDefault="00980D75" w:rsidP="00856E61">
      <w:pPr>
        <w:autoSpaceDE w:val="0"/>
        <w:autoSpaceDN w:val="0"/>
        <w:adjustRightInd w:val="0"/>
        <w:spacing w:after="0" w:line="240" w:lineRule="auto"/>
        <w:jc w:val="both"/>
        <w:rPr>
          <w:rFonts w:ascii="CenturyGothic,Bold" w:hAnsi="CenturyGothic,Bold" w:cs="CenturyGothic,Bold"/>
          <w:b/>
          <w:bCs/>
          <w:color w:val="000000"/>
          <w:sz w:val="24"/>
          <w:szCs w:val="24"/>
          <w:u w:val="single"/>
        </w:rPr>
      </w:pPr>
      <w:r w:rsidRPr="00856E61">
        <w:rPr>
          <w:rFonts w:ascii="CenturyGothic,Bold" w:hAnsi="CenturyGothic,Bold" w:cs="CenturyGothic,Bold"/>
          <w:b/>
          <w:bCs/>
          <w:color w:val="000000"/>
          <w:sz w:val="24"/>
          <w:szCs w:val="24"/>
          <w:u w:val="single"/>
        </w:rPr>
        <w:t>EXPLORATION</w:t>
      </w:r>
    </w:p>
    <w:p w:rsidR="00856E61" w:rsidRPr="00856E61" w:rsidRDefault="00856E61" w:rsidP="00856E61">
      <w:pPr>
        <w:autoSpaceDE w:val="0"/>
        <w:autoSpaceDN w:val="0"/>
        <w:adjustRightInd w:val="0"/>
        <w:spacing w:after="0" w:line="240" w:lineRule="auto"/>
        <w:jc w:val="both"/>
        <w:rPr>
          <w:rFonts w:ascii="CenturyGothic,Bold" w:hAnsi="CenturyGothic,Bold" w:cs="CenturyGothic,Bold"/>
          <w:b/>
          <w:bCs/>
          <w:color w:val="000000"/>
          <w:sz w:val="24"/>
          <w:szCs w:val="24"/>
          <w:u w:val="single"/>
        </w:rPr>
      </w:pPr>
    </w:p>
    <w:p w:rsidR="00980D75" w:rsidRDefault="00980D75" w:rsidP="00856E61">
      <w:pPr>
        <w:autoSpaceDE w:val="0"/>
        <w:autoSpaceDN w:val="0"/>
        <w:adjustRightInd w:val="0"/>
        <w:spacing w:after="0" w:line="240" w:lineRule="auto"/>
        <w:jc w:val="both"/>
        <w:rPr>
          <w:rFonts w:ascii="CenturyGothic,Bold" w:hAnsi="CenturyGothic,Bold" w:cs="CenturyGothic,Bold"/>
          <w:bCs/>
          <w:i/>
          <w:color w:val="000000"/>
          <w:sz w:val="24"/>
          <w:szCs w:val="24"/>
          <w:u w:val="single"/>
        </w:rPr>
      </w:pPr>
      <w:r w:rsidRPr="00856E61">
        <w:rPr>
          <w:rFonts w:ascii="CenturyGothic,Bold" w:hAnsi="CenturyGothic,Bold" w:cs="CenturyGothic,Bold"/>
          <w:bCs/>
          <w:i/>
          <w:color w:val="000000"/>
          <w:sz w:val="24"/>
          <w:szCs w:val="24"/>
          <w:u w:val="single"/>
        </w:rPr>
        <w:t>Séance 1 : masculin ou féminin ?</w:t>
      </w:r>
    </w:p>
    <w:p w:rsidR="00856E61" w:rsidRPr="00856E61" w:rsidRDefault="00856E61" w:rsidP="00856E61">
      <w:pPr>
        <w:autoSpaceDE w:val="0"/>
        <w:autoSpaceDN w:val="0"/>
        <w:adjustRightInd w:val="0"/>
        <w:spacing w:after="0" w:line="240" w:lineRule="auto"/>
        <w:jc w:val="both"/>
        <w:rPr>
          <w:rFonts w:ascii="CenturyGothic,Bold" w:hAnsi="CenturyGothic,Bold" w:cs="CenturyGothic,Bold"/>
          <w:bCs/>
          <w:i/>
          <w:color w:val="000000"/>
          <w:sz w:val="24"/>
          <w:szCs w:val="24"/>
          <w:u w:val="single"/>
        </w:rPr>
      </w:pPr>
    </w:p>
    <w:p w:rsidR="00980D75" w:rsidRDefault="00980D75" w:rsidP="00856E61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Demander aux enfants s’ils savent ce que signifient « masculin » et « féminin ».</w:t>
      </w:r>
    </w:p>
    <w:p w:rsidR="00980D75" w:rsidRDefault="00980D75" w:rsidP="00856E61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Aboutir à une formulation du type « masculin, c’est pour les garçons et</w:t>
      </w:r>
      <w:r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>
        <w:rPr>
          <w:rFonts w:ascii="CenturyGothic" w:hAnsi="CenturyGothic" w:cs="CenturyGothic"/>
          <w:color w:val="000000"/>
          <w:sz w:val="24"/>
          <w:szCs w:val="24"/>
        </w:rPr>
        <w:t>féminin, c’est pour les fill</w:t>
      </w:r>
      <w:r>
        <w:rPr>
          <w:rFonts w:ascii="CenturyGothic" w:hAnsi="CenturyGothic" w:cs="CenturyGothic"/>
          <w:color w:val="000000"/>
          <w:sz w:val="24"/>
          <w:szCs w:val="24"/>
        </w:rPr>
        <w:t xml:space="preserve">es </w:t>
      </w:r>
      <w:r>
        <w:rPr>
          <w:rFonts w:ascii="CenturyGothic" w:hAnsi="CenturyGothic" w:cs="CenturyGothic"/>
          <w:color w:val="000000"/>
          <w:sz w:val="24"/>
          <w:szCs w:val="24"/>
        </w:rPr>
        <w:t>».</w:t>
      </w:r>
    </w:p>
    <w:p w:rsidR="00980D75" w:rsidRDefault="00980D75" w:rsidP="00856E61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Leur faire trier des images selon cette différence. Distribuer un petit paquet</w:t>
      </w:r>
      <w:r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>
        <w:rPr>
          <w:rFonts w:ascii="CenturyGothic" w:hAnsi="CenturyGothic" w:cs="CenturyGothic"/>
          <w:color w:val="000000"/>
          <w:sz w:val="24"/>
          <w:szCs w:val="24"/>
        </w:rPr>
        <w:t>d’images à chaque élève. Les inciter à les présenter et à nommer</w:t>
      </w:r>
      <w:r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>
        <w:rPr>
          <w:rFonts w:ascii="CenturyGothic" w:hAnsi="CenturyGothic" w:cs="CenturyGothic"/>
          <w:color w:val="000000"/>
          <w:sz w:val="24"/>
          <w:szCs w:val="24"/>
        </w:rPr>
        <w:t>correctement les objets. Questionner : « Dit-on le ou la ? ». Déduire avec eux si</w:t>
      </w:r>
      <w:r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>
        <w:rPr>
          <w:rFonts w:ascii="CenturyGothic" w:hAnsi="CenturyGothic" w:cs="CenturyGothic"/>
          <w:color w:val="000000"/>
          <w:sz w:val="24"/>
          <w:szCs w:val="24"/>
        </w:rPr>
        <w:t>c’est un nom masculin ou féminin. Faire ranger toutes les images dont les</w:t>
      </w:r>
      <w:r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>
        <w:rPr>
          <w:rFonts w:ascii="CenturyGothic" w:hAnsi="CenturyGothic" w:cs="CenturyGothic"/>
          <w:color w:val="000000"/>
          <w:sz w:val="24"/>
          <w:szCs w:val="24"/>
        </w:rPr>
        <w:t>noms sont féminins dans une boîte rouge, et les masculins dans une boîte</w:t>
      </w:r>
      <w:r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>
        <w:rPr>
          <w:rFonts w:ascii="CenturyGothic" w:hAnsi="CenturyGothic" w:cs="CenturyGothic"/>
          <w:color w:val="000000"/>
          <w:sz w:val="24"/>
          <w:szCs w:val="24"/>
        </w:rPr>
        <w:t>bleue.</w:t>
      </w:r>
    </w:p>
    <w:p w:rsidR="00980D75" w:rsidRDefault="00980D75" w:rsidP="00856E61">
      <w:pPr>
        <w:autoSpaceDE w:val="0"/>
        <w:autoSpaceDN w:val="0"/>
        <w:adjustRightInd w:val="0"/>
        <w:spacing w:after="0" w:line="240" w:lineRule="auto"/>
        <w:jc w:val="both"/>
        <w:rPr>
          <w:rFonts w:ascii="CenturyGothic,Bold" w:hAnsi="CenturyGothic,Bold" w:cs="CenturyGothic,Bold"/>
          <w:b/>
          <w:bCs/>
          <w:color w:val="000000"/>
          <w:sz w:val="24"/>
          <w:szCs w:val="24"/>
        </w:rPr>
      </w:pPr>
    </w:p>
    <w:p w:rsidR="00980D75" w:rsidRDefault="00980D75" w:rsidP="00856E61">
      <w:pPr>
        <w:autoSpaceDE w:val="0"/>
        <w:autoSpaceDN w:val="0"/>
        <w:adjustRightInd w:val="0"/>
        <w:spacing w:after="0" w:line="240" w:lineRule="auto"/>
        <w:jc w:val="both"/>
        <w:rPr>
          <w:rFonts w:ascii="CenturyGothic,Bold" w:hAnsi="CenturyGothic,Bold" w:cs="CenturyGothic,Bold"/>
          <w:b/>
          <w:bCs/>
          <w:color w:val="000000"/>
          <w:sz w:val="24"/>
          <w:szCs w:val="24"/>
        </w:rPr>
      </w:pPr>
    </w:p>
    <w:p w:rsidR="00980D75" w:rsidRPr="00856E61" w:rsidRDefault="00980D75" w:rsidP="00856E61">
      <w:pPr>
        <w:autoSpaceDE w:val="0"/>
        <w:autoSpaceDN w:val="0"/>
        <w:adjustRightInd w:val="0"/>
        <w:spacing w:after="0" w:line="240" w:lineRule="auto"/>
        <w:jc w:val="both"/>
        <w:rPr>
          <w:rFonts w:ascii="CenturyGothic,Bold" w:hAnsi="CenturyGothic,Bold" w:cs="CenturyGothic,Bold"/>
          <w:bCs/>
          <w:i/>
          <w:color w:val="000000"/>
          <w:sz w:val="24"/>
          <w:szCs w:val="24"/>
          <w:u w:val="single"/>
        </w:rPr>
      </w:pPr>
      <w:r w:rsidRPr="00856E61">
        <w:rPr>
          <w:rFonts w:ascii="CenturyGothic,Bold" w:hAnsi="CenturyGothic,Bold" w:cs="CenturyGothic,Bold"/>
          <w:bCs/>
          <w:i/>
          <w:color w:val="000000"/>
          <w:sz w:val="24"/>
          <w:szCs w:val="24"/>
          <w:u w:val="single"/>
        </w:rPr>
        <w:t>Séance 2 : Elaboration d’un affichage collectif : la maison du « la/une » et la</w:t>
      </w:r>
      <w:r w:rsidRPr="00856E61">
        <w:rPr>
          <w:rFonts w:ascii="CenturyGothic,Bold" w:hAnsi="CenturyGothic,Bold" w:cs="CenturyGothic,Bold"/>
          <w:bCs/>
          <w:i/>
          <w:color w:val="000000"/>
          <w:sz w:val="24"/>
          <w:szCs w:val="24"/>
          <w:u w:val="single"/>
        </w:rPr>
        <w:t xml:space="preserve"> </w:t>
      </w:r>
      <w:r w:rsidRPr="00856E61">
        <w:rPr>
          <w:rFonts w:ascii="CenturyGothic,Bold" w:hAnsi="CenturyGothic,Bold" w:cs="CenturyGothic,Bold"/>
          <w:bCs/>
          <w:i/>
          <w:color w:val="000000"/>
          <w:sz w:val="24"/>
          <w:szCs w:val="24"/>
          <w:u w:val="single"/>
        </w:rPr>
        <w:t>maison du « le/un »</w:t>
      </w:r>
    </w:p>
    <w:p w:rsidR="00980D75" w:rsidRDefault="00980D75" w:rsidP="00856E61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Remettre</w:t>
      </w:r>
      <w:r>
        <w:rPr>
          <w:rFonts w:ascii="CenturyGothic" w:hAnsi="CenturyGothic" w:cs="CenturyGothic"/>
          <w:color w:val="000000"/>
          <w:sz w:val="24"/>
          <w:szCs w:val="24"/>
        </w:rPr>
        <w:t xml:space="preserve"> à chaque élève une partie d’un imagier à découper.</w:t>
      </w:r>
    </w:p>
    <w:p w:rsidR="00980D75" w:rsidRDefault="00980D75" w:rsidP="00856E61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Chaque image doit ensuite être collée soit dans la maison du LA/UNE (en</w:t>
      </w:r>
      <w:r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>
        <w:rPr>
          <w:rFonts w:ascii="CenturyGothic" w:hAnsi="CenturyGothic" w:cs="CenturyGothic"/>
          <w:color w:val="000000"/>
          <w:sz w:val="24"/>
          <w:szCs w:val="24"/>
        </w:rPr>
        <w:t>rouge), soit dans la maison du LE/UN (en bleu). Sur le toit de chaque maison,</w:t>
      </w:r>
      <w:r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>
        <w:rPr>
          <w:rFonts w:ascii="CenturyGothic" w:hAnsi="CenturyGothic" w:cs="CenturyGothic"/>
          <w:color w:val="000000"/>
          <w:sz w:val="24"/>
          <w:szCs w:val="24"/>
        </w:rPr>
        <w:t>les mots sont écrits dans les trois graphies.</w:t>
      </w:r>
    </w:p>
    <w:p w:rsidR="00980D75" w:rsidRDefault="00980D75" w:rsidP="00856E61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La validation se fait entre pairs, puis avec l’enseignant.</w:t>
      </w:r>
    </w:p>
    <w:p w:rsidR="00980D75" w:rsidRDefault="00980D75" w:rsidP="00856E61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</w:p>
    <w:p w:rsidR="00980D75" w:rsidRPr="00856E61" w:rsidRDefault="00980D75" w:rsidP="00856E61">
      <w:pPr>
        <w:autoSpaceDE w:val="0"/>
        <w:autoSpaceDN w:val="0"/>
        <w:adjustRightInd w:val="0"/>
        <w:spacing w:after="0" w:line="240" w:lineRule="auto"/>
        <w:jc w:val="both"/>
        <w:rPr>
          <w:rFonts w:ascii="CenturyGothic,Bold" w:hAnsi="CenturyGothic,Bold" w:cs="CenturyGothic,Bold"/>
          <w:bCs/>
          <w:i/>
          <w:color w:val="000000"/>
          <w:sz w:val="24"/>
          <w:szCs w:val="24"/>
          <w:u w:val="single"/>
        </w:rPr>
      </w:pPr>
      <w:r w:rsidRPr="00856E61">
        <w:rPr>
          <w:rFonts w:ascii="CenturyGothic,Bold" w:hAnsi="CenturyGothic,Bold" w:cs="CenturyGothic,Bold"/>
          <w:bCs/>
          <w:i/>
          <w:color w:val="000000"/>
          <w:sz w:val="24"/>
          <w:szCs w:val="24"/>
          <w:u w:val="single"/>
        </w:rPr>
        <w:t>Séance 3 : Le jeu des articles</w:t>
      </w:r>
    </w:p>
    <w:p w:rsidR="00980D75" w:rsidRDefault="00980D75" w:rsidP="00856E61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Chaque élève reçoit une planche sur laquelle sont dessinés des objets. A tour</w:t>
      </w:r>
      <w:r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>
        <w:rPr>
          <w:rFonts w:ascii="CenturyGothic" w:hAnsi="CenturyGothic" w:cs="CenturyGothic"/>
          <w:color w:val="000000"/>
          <w:sz w:val="24"/>
          <w:szCs w:val="24"/>
        </w:rPr>
        <w:t>de rôle, les enfants lancent le dé. Selon l’article indiqué par le dé, l’enfant</w:t>
      </w:r>
      <w:r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>
        <w:rPr>
          <w:rFonts w:ascii="CenturyGothic" w:hAnsi="CenturyGothic" w:cs="CenturyGothic"/>
          <w:color w:val="000000"/>
          <w:sz w:val="24"/>
          <w:szCs w:val="24"/>
        </w:rPr>
        <w:t>prend une étiquette mobile et la place devant un objet du genre concerné.</w:t>
      </w:r>
    </w:p>
    <w:p w:rsidR="00980D75" w:rsidRDefault="00980D75" w:rsidP="00856E61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Le premier à remplir sa planche a gagné.</w:t>
      </w:r>
    </w:p>
    <w:p w:rsidR="00980D75" w:rsidRDefault="00980D75" w:rsidP="00856E61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Atelier dirigé pour la première séance, puis en autonomie.</w:t>
      </w:r>
    </w:p>
    <w:p w:rsidR="00980D75" w:rsidRDefault="00980D75" w:rsidP="00856E61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</w:p>
    <w:p w:rsidR="00980D75" w:rsidRDefault="00980D75" w:rsidP="00856E61">
      <w:pPr>
        <w:autoSpaceDE w:val="0"/>
        <w:autoSpaceDN w:val="0"/>
        <w:adjustRightInd w:val="0"/>
        <w:spacing w:after="0" w:line="240" w:lineRule="auto"/>
        <w:jc w:val="both"/>
        <w:rPr>
          <w:rFonts w:ascii="CenturyGothic,Bold" w:hAnsi="CenturyGothic,Bold" w:cs="CenturyGothic,Bold"/>
          <w:b/>
          <w:bCs/>
          <w:color w:val="000000"/>
          <w:sz w:val="24"/>
          <w:szCs w:val="24"/>
          <w:u w:val="single"/>
        </w:rPr>
      </w:pPr>
      <w:r w:rsidRPr="00856E61">
        <w:rPr>
          <w:rFonts w:ascii="CenturyGothic,Bold" w:hAnsi="CenturyGothic,Bold" w:cs="CenturyGothic,Bold"/>
          <w:b/>
          <w:bCs/>
          <w:color w:val="000000"/>
          <w:sz w:val="24"/>
          <w:szCs w:val="24"/>
          <w:u w:val="single"/>
        </w:rPr>
        <w:t>STRUCTURATION</w:t>
      </w:r>
    </w:p>
    <w:p w:rsidR="00856E61" w:rsidRPr="00856E61" w:rsidRDefault="00856E61" w:rsidP="00856E61">
      <w:pPr>
        <w:autoSpaceDE w:val="0"/>
        <w:autoSpaceDN w:val="0"/>
        <w:adjustRightInd w:val="0"/>
        <w:spacing w:after="0" w:line="240" w:lineRule="auto"/>
        <w:jc w:val="both"/>
        <w:rPr>
          <w:rFonts w:ascii="CenturyGothic,Bold" w:hAnsi="CenturyGothic,Bold" w:cs="CenturyGothic,Bold"/>
          <w:b/>
          <w:bCs/>
          <w:color w:val="000000"/>
          <w:sz w:val="24"/>
          <w:szCs w:val="24"/>
          <w:u w:val="single"/>
        </w:rPr>
      </w:pPr>
    </w:p>
    <w:p w:rsidR="00980D75" w:rsidRPr="00856E61" w:rsidRDefault="00980D75" w:rsidP="00856E61">
      <w:pPr>
        <w:autoSpaceDE w:val="0"/>
        <w:autoSpaceDN w:val="0"/>
        <w:adjustRightInd w:val="0"/>
        <w:spacing w:after="0" w:line="240" w:lineRule="auto"/>
        <w:jc w:val="both"/>
        <w:rPr>
          <w:rFonts w:ascii="CenturyGothic,Bold" w:hAnsi="CenturyGothic,Bold" w:cs="CenturyGothic,Bold"/>
          <w:bCs/>
          <w:i/>
          <w:color w:val="000000"/>
          <w:sz w:val="24"/>
          <w:szCs w:val="24"/>
          <w:u w:val="single"/>
        </w:rPr>
      </w:pPr>
      <w:r w:rsidRPr="00856E61">
        <w:rPr>
          <w:rFonts w:ascii="CenturyGothic,Bold" w:hAnsi="CenturyGothic,Bold" w:cs="CenturyGothic,Bold"/>
          <w:bCs/>
          <w:i/>
          <w:color w:val="000000"/>
          <w:sz w:val="24"/>
          <w:szCs w:val="24"/>
          <w:u w:val="single"/>
        </w:rPr>
        <w:t>Séance 4 : Ecrire « le », « la », « un », « une » en cursive</w:t>
      </w:r>
    </w:p>
    <w:p w:rsidR="00980D75" w:rsidRDefault="00980D75" w:rsidP="00856E61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Dans le cadre de la progression en gr</w:t>
      </w:r>
      <w:r>
        <w:rPr>
          <w:rFonts w:ascii="CenturyGothic" w:hAnsi="CenturyGothic" w:cs="CenturyGothic"/>
          <w:color w:val="000000"/>
          <w:sz w:val="24"/>
          <w:szCs w:val="24"/>
        </w:rPr>
        <w:t>aphisme/écriture, l’écriture des articles est abordée.</w:t>
      </w:r>
    </w:p>
    <w:p w:rsidR="00980D75" w:rsidRDefault="00980D75" w:rsidP="00856E61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</w:p>
    <w:p w:rsidR="00980D75" w:rsidRPr="00856E61" w:rsidRDefault="00980D75" w:rsidP="00856E61">
      <w:pPr>
        <w:autoSpaceDE w:val="0"/>
        <w:autoSpaceDN w:val="0"/>
        <w:adjustRightInd w:val="0"/>
        <w:spacing w:after="0" w:line="240" w:lineRule="auto"/>
        <w:jc w:val="both"/>
        <w:rPr>
          <w:rFonts w:ascii="CenturyGothic,Bold" w:hAnsi="CenturyGothic,Bold" w:cs="CenturyGothic,Bold"/>
          <w:bCs/>
          <w:i/>
          <w:color w:val="000000"/>
          <w:sz w:val="24"/>
          <w:szCs w:val="24"/>
          <w:u w:val="single"/>
        </w:rPr>
      </w:pPr>
      <w:r w:rsidRPr="00856E61">
        <w:rPr>
          <w:rFonts w:ascii="CenturyGothic,Bold" w:hAnsi="CenturyGothic,Bold" w:cs="CenturyGothic,Bold"/>
          <w:bCs/>
          <w:i/>
          <w:color w:val="000000"/>
          <w:sz w:val="24"/>
          <w:szCs w:val="24"/>
          <w:u w:val="single"/>
        </w:rPr>
        <w:lastRenderedPageBreak/>
        <w:t>Séance 5 : Le déterminant</w:t>
      </w:r>
    </w:p>
    <w:p w:rsidR="00980D75" w:rsidRDefault="00980D75" w:rsidP="00856E61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Sur fiche, découper les étiquettes avec « le » ou « la ». Nommer chaque</w:t>
      </w:r>
      <w:r w:rsidR="00856E61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>
        <w:rPr>
          <w:rFonts w:ascii="CenturyGothic" w:hAnsi="CenturyGothic" w:cs="CenturyGothic"/>
          <w:color w:val="000000"/>
          <w:sz w:val="24"/>
          <w:szCs w:val="24"/>
        </w:rPr>
        <w:t>image et coller l’étiquette correspondante.</w:t>
      </w:r>
    </w:p>
    <w:p w:rsidR="00856E61" w:rsidRDefault="00856E61" w:rsidP="00856E61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</w:p>
    <w:p w:rsidR="00980D75" w:rsidRPr="00856E61" w:rsidRDefault="00980D75" w:rsidP="00856E61">
      <w:pPr>
        <w:autoSpaceDE w:val="0"/>
        <w:autoSpaceDN w:val="0"/>
        <w:adjustRightInd w:val="0"/>
        <w:spacing w:after="0" w:line="240" w:lineRule="auto"/>
        <w:jc w:val="both"/>
        <w:rPr>
          <w:rFonts w:ascii="CenturyGothic,Bold" w:hAnsi="CenturyGothic,Bold" w:cs="CenturyGothic,Bold"/>
          <w:bCs/>
          <w:i/>
          <w:color w:val="000000"/>
          <w:sz w:val="24"/>
          <w:szCs w:val="24"/>
          <w:u w:val="single"/>
        </w:rPr>
      </w:pPr>
      <w:r w:rsidRPr="00856E61">
        <w:rPr>
          <w:rFonts w:ascii="CenturyGothic,Bold" w:hAnsi="CenturyGothic,Bold" w:cs="CenturyGothic,Bold"/>
          <w:bCs/>
          <w:i/>
          <w:color w:val="000000"/>
          <w:sz w:val="24"/>
          <w:szCs w:val="24"/>
          <w:u w:val="single"/>
        </w:rPr>
        <w:t>Séance 6 : « Le » ou « la », « un » ou « une » ?</w:t>
      </w:r>
    </w:p>
    <w:p w:rsidR="00980D75" w:rsidRDefault="00980D75" w:rsidP="00856E61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Sur fiche, colorier en rouge les images de noms féminins, en bleus les images</w:t>
      </w:r>
      <w:r w:rsidR="00856E61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>
        <w:rPr>
          <w:rFonts w:ascii="CenturyGothic" w:hAnsi="CenturyGothic" w:cs="CenturyGothic"/>
          <w:color w:val="000000"/>
          <w:sz w:val="24"/>
          <w:szCs w:val="24"/>
        </w:rPr>
        <w:t>de noms masculins. Puis colorier en rouge les noms féminins (avec article « la »</w:t>
      </w:r>
      <w:r w:rsidR="00856E61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>
        <w:rPr>
          <w:rFonts w:ascii="CenturyGothic" w:hAnsi="CenturyGothic" w:cs="CenturyGothic"/>
          <w:color w:val="000000"/>
          <w:sz w:val="24"/>
          <w:szCs w:val="24"/>
        </w:rPr>
        <w:t>ou « une » en script) et en bleu les noms masculins (avec article « le » ou</w:t>
      </w:r>
      <w:r w:rsidR="00856E61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>
        <w:rPr>
          <w:rFonts w:ascii="CenturyGothic" w:hAnsi="CenturyGothic" w:cs="CenturyGothic"/>
          <w:color w:val="000000"/>
          <w:sz w:val="24"/>
          <w:szCs w:val="24"/>
        </w:rPr>
        <w:t>« un » en script).</w:t>
      </w:r>
    </w:p>
    <w:p w:rsidR="00856E61" w:rsidRDefault="00856E61" w:rsidP="00980D7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</w:p>
    <w:p w:rsidR="00980D75" w:rsidRDefault="00980D75" w:rsidP="00980D75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  <w:sz w:val="24"/>
          <w:szCs w:val="24"/>
        </w:rPr>
      </w:pPr>
      <w:r w:rsidRPr="00856E61">
        <w:rPr>
          <w:rFonts w:ascii="CenturyGothic,Bold" w:hAnsi="CenturyGothic,Bold" w:cs="CenturyGothic,Bold"/>
          <w:bCs/>
          <w:i/>
          <w:color w:val="000000"/>
          <w:sz w:val="24"/>
          <w:szCs w:val="24"/>
          <w:u w:val="single"/>
        </w:rPr>
        <w:t>Pr</w:t>
      </w:r>
      <w:r w:rsidR="00856E61" w:rsidRPr="00856E61">
        <w:rPr>
          <w:rFonts w:ascii="CenturyGothic,Bold" w:hAnsi="CenturyGothic,Bold" w:cs="CenturyGothic,Bold"/>
          <w:bCs/>
          <w:i/>
          <w:color w:val="000000"/>
          <w:sz w:val="24"/>
          <w:szCs w:val="24"/>
          <w:u w:val="single"/>
        </w:rPr>
        <w:t>olongement</w:t>
      </w:r>
      <w:r w:rsidRPr="00856E61">
        <w:rPr>
          <w:rFonts w:ascii="CenturyGothic,Bold" w:hAnsi="CenturyGothic,Bold" w:cs="CenturyGothic,Bold"/>
          <w:bCs/>
          <w:i/>
          <w:color w:val="000000"/>
          <w:sz w:val="24"/>
          <w:szCs w:val="24"/>
          <w:u w:val="single"/>
        </w:rPr>
        <w:t xml:space="preserve"> </w:t>
      </w:r>
      <w:r>
        <w:rPr>
          <w:rFonts w:ascii="CenturyGothic,Bold" w:hAnsi="CenturyGothic,Bold" w:cs="CenturyGothic,Bold"/>
          <w:b/>
          <w:bCs/>
          <w:color w:val="000000"/>
          <w:sz w:val="24"/>
          <w:szCs w:val="24"/>
        </w:rPr>
        <w:t>:</w:t>
      </w:r>
    </w:p>
    <w:p w:rsidR="00980D75" w:rsidRDefault="00980D75" w:rsidP="00980D7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- les / des</w:t>
      </w:r>
    </w:p>
    <w:sectPr w:rsidR="00980D75" w:rsidSect="00980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75"/>
    <w:rsid w:val="001F6EED"/>
    <w:rsid w:val="00574697"/>
    <w:rsid w:val="00856E61"/>
    <w:rsid w:val="00895F19"/>
    <w:rsid w:val="0098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 Tomasi</dc:creator>
  <cp:lastModifiedBy>Maud Tomasi</cp:lastModifiedBy>
  <cp:revision>1</cp:revision>
  <dcterms:created xsi:type="dcterms:W3CDTF">2015-04-14T18:25:00Z</dcterms:created>
  <dcterms:modified xsi:type="dcterms:W3CDTF">2015-04-14T19:04:00Z</dcterms:modified>
</cp:coreProperties>
</file>